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EBB6724-42F0-4740-8C36-31E93DA0CB64}"/>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